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5C" w:rsidRPr="007A6018" w:rsidRDefault="00D6215C" w:rsidP="007A6018">
      <w:pPr>
        <w:pStyle w:val="En-ttedetabledesmat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5B9BD5" w:themeColor="accent1"/>
          <w:sz w:val="32"/>
          <w:szCs w:val="24"/>
        </w:rPr>
      </w:pPr>
      <w:r w:rsidRPr="007A6018">
        <w:rPr>
          <w:rFonts w:ascii="Times New Roman" w:hAnsi="Times New Roman"/>
          <w:b/>
          <w:color w:val="5B9BD5" w:themeColor="accent1"/>
          <w:sz w:val="32"/>
          <w:szCs w:val="24"/>
        </w:rPr>
        <w:t>ORDRE DU JOUR</w:t>
      </w:r>
    </w:p>
    <w:p w:rsidR="00D6215C" w:rsidRPr="007A6018" w:rsidRDefault="00D6215C" w:rsidP="007A6018">
      <w:pPr>
        <w:pStyle w:val="En-ttedetabledesmat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5B9BD5" w:themeColor="accent1"/>
          <w:sz w:val="32"/>
          <w:szCs w:val="24"/>
        </w:rPr>
      </w:pPr>
      <w:r w:rsidRPr="007A6018">
        <w:rPr>
          <w:rFonts w:ascii="Times New Roman" w:hAnsi="Times New Roman"/>
          <w:b/>
          <w:color w:val="5B9BD5" w:themeColor="accent1"/>
          <w:sz w:val="32"/>
          <w:szCs w:val="24"/>
        </w:rPr>
        <w:t xml:space="preserve">CONSEIL D’ADMINISTRATION </w:t>
      </w:r>
    </w:p>
    <w:p w:rsidR="00D6215C" w:rsidRPr="007A6018" w:rsidRDefault="00D6215C" w:rsidP="007A6018">
      <w:pPr>
        <w:pStyle w:val="En-ttedetabledesmat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5B9BD5" w:themeColor="accent1"/>
          <w:sz w:val="32"/>
          <w:szCs w:val="24"/>
        </w:rPr>
      </w:pPr>
      <w:r w:rsidRPr="007A6018">
        <w:rPr>
          <w:rFonts w:ascii="Times New Roman" w:hAnsi="Times New Roman"/>
          <w:b/>
          <w:color w:val="5B9BD5" w:themeColor="accent1"/>
          <w:sz w:val="32"/>
          <w:szCs w:val="24"/>
        </w:rPr>
        <w:t>DU CCAS D HAUBOURDIN</w:t>
      </w:r>
    </w:p>
    <w:p w:rsidR="00D6215C" w:rsidRPr="007A6018" w:rsidRDefault="007A6018" w:rsidP="007A6018">
      <w:pPr>
        <w:pStyle w:val="En-ttedetabledesmat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5B9BD5" w:themeColor="accent1"/>
          <w:sz w:val="32"/>
          <w:szCs w:val="24"/>
        </w:rPr>
      </w:pPr>
      <w:proofErr w:type="gramStart"/>
      <w:r w:rsidRPr="007A6018">
        <w:rPr>
          <w:rFonts w:ascii="Times New Roman" w:hAnsi="Times New Roman"/>
          <w:b/>
          <w:color w:val="5B9BD5" w:themeColor="accent1"/>
          <w:sz w:val="32"/>
          <w:szCs w:val="24"/>
        </w:rPr>
        <w:t>du</w:t>
      </w:r>
      <w:proofErr w:type="gramEnd"/>
      <w:r w:rsidRPr="007A6018">
        <w:rPr>
          <w:rFonts w:ascii="Times New Roman" w:hAnsi="Times New Roman"/>
          <w:b/>
          <w:color w:val="5B9BD5" w:themeColor="accent1"/>
          <w:sz w:val="32"/>
          <w:szCs w:val="24"/>
        </w:rPr>
        <w:t xml:space="preserve"> </w:t>
      </w:r>
      <w:r w:rsidR="006B163F">
        <w:rPr>
          <w:rFonts w:ascii="Times New Roman" w:hAnsi="Times New Roman"/>
          <w:b/>
          <w:color w:val="5B9BD5" w:themeColor="accent1"/>
          <w:sz w:val="32"/>
          <w:szCs w:val="24"/>
        </w:rPr>
        <w:t>18.06.2024</w:t>
      </w:r>
      <w:r w:rsidR="00E10C64">
        <w:rPr>
          <w:rFonts w:ascii="Times New Roman" w:hAnsi="Times New Roman"/>
          <w:b/>
          <w:color w:val="5B9BD5" w:themeColor="accent1"/>
          <w:sz w:val="32"/>
          <w:szCs w:val="24"/>
        </w:rPr>
        <w:t xml:space="preserve"> </w:t>
      </w:r>
      <w:r w:rsidR="00102F3A">
        <w:rPr>
          <w:rFonts w:ascii="Times New Roman" w:hAnsi="Times New Roman"/>
          <w:b/>
          <w:color w:val="5B9BD5" w:themeColor="accent1"/>
          <w:sz w:val="32"/>
          <w:szCs w:val="24"/>
        </w:rPr>
        <w:t>A 18H30</w:t>
      </w:r>
    </w:p>
    <w:p w:rsidR="00D6215C" w:rsidRDefault="00D6215C" w:rsidP="007A6018"/>
    <w:p w:rsidR="00B77F7E" w:rsidRDefault="00B77F7E" w:rsidP="007A6018"/>
    <w:p w:rsidR="006B163F" w:rsidRDefault="006B163F" w:rsidP="007A6018"/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2" w:history="1">
        <w:r w:rsidRPr="006B163F">
          <w:rPr>
            <w:rStyle w:val="Lienhypertexte"/>
            <w:noProof/>
            <w:u w:val="none"/>
          </w:rPr>
          <w:t>2024-06-18 / 24 – Désignation d’un secrétaire de séance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3" w:history="1">
        <w:r w:rsidRPr="006B163F">
          <w:rPr>
            <w:rStyle w:val="Lienhypertexte"/>
            <w:noProof/>
            <w:u w:val="none"/>
          </w:rPr>
          <w:t>2024-06-18 / 25 – Validation du procès-verbal du CA du Mardi 26 mars 2024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4" w:history="1">
        <w:r w:rsidRPr="006B163F">
          <w:rPr>
            <w:rStyle w:val="Lienhypertexte"/>
            <w:noProof/>
            <w:u w:val="none"/>
          </w:rPr>
          <w:t>2024-06-18 / 26 – CCAS – Autorisation de signature du marché public de fourniture de denrées alimentaires avec mission d’assistance technique pour le CCAS d’Haubourdin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5" w:history="1">
        <w:r w:rsidRPr="006B163F">
          <w:rPr>
            <w:rStyle w:val="Lienhypertexte"/>
            <w:noProof/>
            <w:u w:val="none"/>
          </w:rPr>
          <w:t>2024-06-18 / 27 – RESIDENCE BEAUPRE – Admission en créances irrécouvrables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6" w:history="1">
        <w:r w:rsidRPr="006B163F">
          <w:rPr>
            <w:rStyle w:val="Lienhypertexte"/>
            <w:noProof/>
            <w:u w:val="none"/>
          </w:rPr>
          <w:t>2024-06-18 / 28 – CCAS – Modification du règlement de fonctionnement de la Maison de la Petite Enfance : Récréa ’Crèche – Applicable à compter de juillet 2024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7" w:history="1">
        <w:r w:rsidRPr="006B163F">
          <w:rPr>
            <w:rStyle w:val="Lienhypertexte"/>
            <w:noProof/>
            <w:u w:val="none"/>
          </w:rPr>
          <w:t>2024-06-18 / 29 – CCAS – Tarifs du SAAD actualisés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8" w:history="1">
        <w:r w:rsidRPr="006B163F">
          <w:rPr>
            <w:rStyle w:val="Lienhypertexte"/>
            <w:noProof/>
            <w:u w:val="none"/>
          </w:rPr>
          <w:t>2024-06-18 / 30 – CCAS –  Extension du territoire d’intervention du SAAD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49" w:history="1">
        <w:r w:rsidRPr="006B163F">
          <w:rPr>
            <w:rStyle w:val="Lienhypertexte"/>
            <w:noProof/>
            <w:u w:val="none"/>
          </w:rPr>
          <w:t>2024-06-18 / 31 – CCAS – Compte de gestion 2023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0" w:history="1">
        <w:r w:rsidRPr="006B163F">
          <w:rPr>
            <w:rStyle w:val="Lienhypertexte"/>
            <w:noProof/>
            <w:u w:val="none"/>
          </w:rPr>
          <w:t>2024-06-18 / 32 – CCAS – Compte administratif 2023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1" w:history="1">
        <w:r w:rsidRPr="006B163F">
          <w:rPr>
            <w:rStyle w:val="Lienhypertexte"/>
            <w:bCs/>
            <w:noProof/>
            <w:kern w:val="2"/>
            <w:u w:val="none"/>
          </w:rPr>
          <w:t>2024-06-18</w:t>
        </w:r>
        <w:r w:rsidRPr="006B163F">
          <w:rPr>
            <w:rStyle w:val="Lienhypertexte"/>
            <w:bCs/>
            <w:noProof/>
            <w:kern w:val="2"/>
            <w:u w:val="none"/>
            <w:lang w:val="x-none"/>
          </w:rPr>
          <w:t xml:space="preserve"> / 33 –  </w:t>
        </w:r>
        <w:r w:rsidRPr="006B163F">
          <w:rPr>
            <w:rStyle w:val="Lienhypertexte"/>
            <w:bCs/>
            <w:noProof/>
            <w:kern w:val="2"/>
            <w:u w:val="none"/>
          </w:rPr>
          <w:t>CCAS – Budget 2024 – Affectation de résultat de l’exercice 2023 sur l’exercice 2024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2" w:history="1">
        <w:r w:rsidRPr="006B163F">
          <w:rPr>
            <w:rStyle w:val="Lienhypertexte"/>
            <w:bCs/>
            <w:noProof/>
            <w:u w:val="none"/>
          </w:rPr>
          <w:t>2024-06-18</w:t>
        </w:r>
        <w:r w:rsidRPr="006B163F">
          <w:rPr>
            <w:rStyle w:val="Lienhypertexte"/>
            <w:bCs/>
            <w:noProof/>
            <w:u w:val="none"/>
            <w:lang w:val="x-none"/>
          </w:rPr>
          <w:t xml:space="preserve"> / 34 –  </w:t>
        </w:r>
        <w:r w:rsidRPr="006B163F">
          <w:rPr>
            <w:rStyle w:val="Lienhypertexte"/>
            <w:bCs/>
            <w:noProof/>
            <w:u w:val="none"/>
          </w:rPr>
          <w:t>CCAS – Budget 2024 – Budget supplémentaire n°1</w:t>
        </w:r>
      </w:hyperlink>
    </w:p>
    <w:p w:rsidR="006B163F" w:rsidRPr="006B163F" w:rsidRDefault="006B163F" w:rsidP="006B163F">
      <w:pPr>
        <w:pStyle w:val="TM1"/>
        <w:tabs>
          <w:tab w:val="clear" w:pos="9628"/>
        </w:tabs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3" w:history="1">
        <w:r w:rsidRPr="006B163F">
          <w:rPr>
            <w:rStyle w:val="Lienhypertexte"/>
            <w:noProof/>
            <w:u w:val="none"/>
          </w:rPr>
          <w:t>2024-06-18 / 35 – CCAS – BUDGET ANNEXE SAAD – Compte de Gestion 2023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4" w:history="1">
        <w:r w:rsidRPr="006B163F">
          <w:rPr>
            <w:rStyle w:val="Lienhypertexte"/>
            <w:noProof/>
            <w:u w:val="none"/>
          </w:rPr>
          <w:t>2024-06-18 / 36 – CCAS – Budget Annexe SAAD – Compte Administratif 2023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5" w:history="1">
        <w:r w:rsidRPr="006B163F">
          <w:rPr>
            <w:rStyle w:val="Lienhypertexte"/>
            <w:noProof/>
            <w:u w:val="none"/>
          </w:rPr>
          <w:t>2024-06-18 / 37 – CCAS – Budget Résidence Beaupré – Compte de Gestion 2023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6" w:history="1">
        <w:r w:rsidRPr="006B163F">
          <w:rPr>
            <w:rStyle w:val="Lienhypertexte"/>
            <w:noProof/>
            <w:u w:val="none"/>
          </w:rPr>
          <w:t>2024-06-18 / 38 – RESIDENCE BEAUPRE – Etat Réalisé des Recettes et des Dépenses 2023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7" w:history="1">
        <w:r w:rsidRPr="006B163F">
          <w:rPr>
            <w:rStyle w:val="Lienhypertexte"/>
            <w:noProof/>
            <w:u w:val="none"/>
          </w:rPr>
          <w:t>2024-06-18 / 39 – RESIDENCE BEAUPRE – Règles d’amortissements applicables aux ESMS</w:t>
        </w:r>
      </w:hyperlink>
    </w:p>
    <w:p w:rsidR="006B163F" w:rsidRPr="006B163F" w:rsidRDefault="006B163F" w:rsidP="006B163F">
      <w:pPr>
        <w:pStyle w:val="TM1"/>
        <w:ind w:left="-284"/>
        <w:jc w:val="both"/>
        <w:rPr>
          <w:rFonts w:ascii="Calibri" w:hAnsi="Calibri"/>
          <w:noProof/>
          <w:sz w:val="22"/>
          <w:szCs w:val="22"/>
          <w:lang w:eastAsia="fr-FR"/>
        </w:rPr>
      </w:pPr>
      <w:hyperlink w:anchor="_Toc168996158" w:history="1">
        <w:r w:rsidRPr="006B163F">
          <w:rPr>
            <w:rStyle w:val="Lienhypertexte"/>
            <w:noProof/>
            <w:u w:val="none"/>
          </w:rPr>
          <w:t>2024-06-18 / 40 – RESIDENCE BEAUPRE – CPOM 2023 Résidence Autonomie</w:t>
        </w:r>
      </w:hyperlink>
    </w:p>
    <w:p w:rsidR="006B163F" w:rsidRDefault="006B163F" w:rsidP="007A6018">
      <w:bookmarkStart w:id="0" w:name="_GoBack"/>
      <w:bookmarkEnd w:id="0"/>
    </w:p>
    <w:sectPr w:rsidR="006B163F" w:rsidSect="006B163F">
      <w:pgSz w:w="11906" w:h="16838"/>
      <w:pgMar w:top="141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C"/>
    <w:rsid w:val="000702AF"/>
    <w:rsid w:val="000A39E6"/>
    <w:rsid w:val="00102F3A"/>
    <w:rsid w:val="00113013"/>
    <w:rsid w:val="001A56B7"/>
    <w:rsid w:val="00661588"/>
    <w:rsid w:val="00683420"/>
    <w:rsid w:val="006B163F"/>
    <w:rsid w:val="007A6018"/>
    <w:rsid w:val="00844DD0"/>
    <w:rsid w:val="008B0EAD"/>
    <w:rsid w:val="00B72FDF"/>
    <w:rsid w:val="00B77F7E"/>
    <w:rsid w:val="00CA58DD"/>
    <w:rsid w:val="00D6215C"/>
    <w:rsid w:val="00D62917"/>
    <w:rsid w:val="00DC0CD8"/>
    <w:rsid w:val="00DC1E5E"/>
    <w:rsid w:val="00E10C64"/>
    <w:rsid w:val="00ED1C92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5E2D"/>
  <w15:chartTrackingRefBased/>
  <w15:docId w15:val="{6E7878B4-91B5-44CE-B6A1-194B6D55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62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6215C"/>
    <w:rPr>
      <w:color w:val="0563C1"/>
      <w:u w:val="single"/>
    </w:rPr>
  </w:style>
  <w:style w:type="paragraph" w:customStyle="1" w:styleId="Titre2">
    <w:name w:val="Titre2"/>
    <w:basedOn w:val="Normal"/>
    <w:next w:val="Corpsdetexte"/>
    <w:rsid w:val="00D6215C"/>
    <w:pPr>
      <w:jc w:val="center"/>
    </w:pPr>
    <w:rPr>
      <w:b/>
      <w:sz w:val="40"/>
      <w:szCs w:val="20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D621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En-ttedetabledesmatires">
    <w:name w:val="TOC Heading"/>
    <w:basedOn w:val="Titre1"/>
    <w:next w:val="Normal"/>
    <w:qFormat/>
    <w:rsid w:val="00D6215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line="252" w:lineRule="auto"/>
      <w:outlineLvl w:val="9"/>
    </w:pPr>
    <w:rPr>
      <w:rFonts w:ascii="Calibri Light" w:eastAsia="Times New Roman" w:hAnsi="Calibri Light" w:cs="Times New Roman"/>
      <w:color w:val="2F5496"/>
      <w:sz w:val="22"/>
    </w:rPr>
  </w:style>
  <w:style w:type="paragraph" w:styleId="TM1">
    <w:name w:val="toc 1"/>
    <w:basedOn w:val="Normal"/>
    <w:next w:val="Normal"/>
    <w:uiPriority w:val="39"/>
    <w:rsid w:val="00D6215C"/>
    <w:pPr>
      <w:tabs>
        <w:tab w:val="right" w:leader="dot" w:pos="9628"/>
      </w:tabs>
      <w:spacing w:before="120" w:after="120" w:line="36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6215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1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D62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ev">
    <w:name w:val="Strong"/>
    <w:uiPriority w:val="22"/>
    <w:qFormat/>
    <w:rsid w:val="007A601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C1E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B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B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02E8-3269-4AC7-B8EB-0A3B5ADB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Veruppen</dc:creator>
  <cp:keywords/>
  <dc:description/>
  <cp:lastModifiedBy>Sabrina Veruppen</cp:lastModifiedBy>
  <cp:revision>2</cp:revision>
  <cp:lastPrinted>2024-02-01T10:52:00Z</cp:lastPrinted>
  <dcterms:created xsi:type="dcterms:W3CDTF">2024-06-11T10:21:00Z</dcterms:created>
  <dcterms:modified xsi:type="dcterms:W3CDTF">2024-06-11T10:21:00Z</dcterms:modified>
</cp:coreProperties>
</file>